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Accordi siglati in fase di contrattazione decentrata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autorizzazione degli accordi siglati in fase di contrattazione decentrata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267/2000 - D. Lgs. 165/2001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01176F" w:rsidRDefault="00FB69E3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01176F" w:rsidRDefault="00FB69E3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BD66FF">
              <w:rPr>
                <w:rFonts w:ascii="Arial" w:hAnsi="Arial"/>
              </w:rPr>
              <w:t>servizifinanziari@</w:t>
            </w:r>
            <w:r>
              <w:rPr>
                <w:rFonts w:ascii="Arial" w:hAnsi="Arial"/>
              </w:rPr>
              <w:t>comune.parona.pv.it</w:t>
            </w:r>
          </w:p>
          <w:p w:rsidR="0001176F" w:rsidRDefault="00FB69E3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BD66FF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01176F" w:rsidRDefault="00FB69E3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01176F" w:rsidRDefault="00FB69E3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01176F" w:rsidRDefault="00FB69E3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01176F" w:rsidRDefault="00FB69E3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01176F" w:rsidRDefault="00FB69E3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01176F" w:rsidRDefault="00FB69E3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90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</w:t>
            </w:r>
            <w:r w:rsidRPr="007137E0">
              <w:rPr>
                <w:rFonts w:ascii="Arial" w:hAnsi="Arial"/>
              </w:rPr>
              <w:lastRenderedPageBreak/>
              <w:t>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BD66FF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176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D66FF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9E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96775D5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2026-06-06T19:16:00Z</dcterms:modified>
</cp:coreProperties>
</file>